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Sub-região </w:t>
      </w:r>
      <w:r w:rsidR="00037C41">
        <w:rPr>
          <w:b/>
          <w:sz w:val="28"/>
          <w:szCs w:val="28"/>
        </w:rPr>
        <w:t>Sud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573D4A">
        <w:rPr>
          <w:b/>
          <w:sz w:val="28"/>
          <w:szCs w:val="28"/>
        </w:rPr>
        <w:t>São Bernardo do Campo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573D4A">
        <w:t>09</w:t>
      </w:r>
      <w:r>
        <w:t>/</w:t>
      </w:r>
      <w:r w:rsidR="00572802">
        <w:t>1</w:t>
      </w:r>
      <w:r w:rsidR="00037C41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</w:t>
      </w:r>
      <w:r w:rsidR="00761752">
        <w:t>âmara Municipal</w:t>
      </w:r>
      <w:r w:rsidR="00573D4A">
        <w:t xml:space="preserve"> - </w:t>
      </w:r>
      <w:proofErr w:type="spellStart"/>
      <w:r w:rsidR="00573D4A">
        <w:t>Plenarinho</w:t>
      </w:r>
      <w:proofErr w:type="spellEnd"/>
    </w:p>
    <w:p w:rsidR="005820F3" w:rsidRDefault="005820F3" w:rsidP="005820F3">
      <w:pPr>
        <w:spacing w:after="0"/>
      </w:pPr>
      <w:r>
        <w:t xml:space="preserve">Presentes: </w:t>
      </w:r>
      <w:r w:rsidR="00573D4A">
        <w:t>96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573D4A" w:rsidP="00A21D44">
      <w:pPr>
        <w:spacing w:after="0"/>
        <w:jc w:val="center"/>
      </w:pPr>
      <w:r w:rsidRPr="00573D4A">
        <w:drawing>
          <wp:inline distT="0" distB="0" distL="0" distR="0">
            <wp:extent cx="3222000" cy="1968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573D4A" w:rsidP="00A21D44">
      <w:pPr>
        <w:spacing w:after="0"/>
        <w:jc w:val="center"/>
      </w:pPr>
      <w:r w:rsidRPr="00573D4A">
        <w:drawing>
          <wp:inline distT="0" distB="0" distL="0" distR="0">
            <wp:extent cx="3222000" cy="19685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573D4A" w:rsidP="002A2F4A">
      <w:pPr>
        <w:spacing w:after="0"/>
        <w:jc w:val="center"/>
      </w:pPr>
      <w:r w:rsidRPr="00573D4A">
        <w:drawing>
          <wp:inline distT="0" distB="0" distL="0" distR="0">
            <wp:extent cx="3222000" cy="19685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37C41"/>
    <w:rsid w:val="00073279"/>
    <w:rsid w:val="000E071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2F2BDC"/>
    <w:rsid w:val="004A3A55"/>
    <w:rsid w:val="00523626"/>
    <w:rsid w:val="00565EB8"/>
    <w:rsid w:val="00572802"/>
    <w:rsid w:val="00573D4A"/>
    <w:rsid w:val="005820F3"/>
    <w:rsid w:val="005E6744"/>
    <w:rsid w:val="00600A70"/>
    <w:rsid w:val="00623268"/>
    <w:rsid w:val="00646B10"/>
    <w:rsid w:val="006626BA"/>
    <w:rsid w:val="00662F45"/>
    <w:rsid w:val="006807A1"/>
    <w:rsid w:val="006D019D"/>
    <w:rsid w:val="0074067F"/>
    <w:rsid w:val="00751E7B"/>
    <w:rsid w:val="00761752"/>
    <w:rsid w:val="00765753"/>
    <w:rsid w:val="00790434"/>
    <w:rsid w:val="007D1460"/>
    <w:rsid w:val="007F2282"/>
    <w:rsid w:val="00803876"/>
    <w:rsid w:val="008E3C39"/>
    <w:rsid w:val="00923018"/>
    <w:rsid w:val="00981699"/>
    <w:rsid w:val="00983188"/>
    <w:rsid w:val="009B03F9"/>
    <w:rsid w:val="009E5981"/>
    <w:rsid w:val="00A06F91"/>
    <w:rsid w:val="00A21D44"/>
    <w:rsid w:val="00A222B9"/>
    <w:rsid w:val="00A53713"/>
    <w:rsid w:val="00AC5A4B"/>
    <w:rsid w:val="00C128C3"/>
    <w:rsid w:val="00C6518F"/>
    <w:rsid w:val="00CD300D"/>
    <w:rsid w:val="00D02FC8"/>
    <w:rsid w:val="00D153AD"/>
    <w:rsid w:val="00D82462"/>
    <w:rsid w:val="00DB0DB6"/>
    <w:rsid w:val="00E05782"/>
    <w:rsid w:val="00E44420"/>
    <w:rsid w:val="00E878C3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Gráficos_SE!$K$38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Gráficos_SE!$L$37:$M$37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Gráficos_SE!$L$38:$M$38</c:f>
              <c:numCache>
                <c:formatCode>General</c:formatCode>
                <c:ptCount val="2"/>
                <c:pt idx="0">
                  <c:v>12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Gráficos_SE!$K$39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Gráficos_SE!$L$37:$M$37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Gráficos_SE!$L$39:$M$39</c:f>
              <c:numCache>
                <c:formatCode>General</c:formatCode>
                <c:ptCount val="2"/>
                <c:pt idx="0">
                  <c:v>84</c:v>
                </c:pt>
                <c:pt idx="1">
                  <c:v>10</c:v>
                </c:pt>
              </c:numCache>
            </c:numRef>
          </c:val>
        </c:ser>
        <c:overlap val="100"/>
        <c:axId val="98033024"/>
        <c:axId val="103700736"/>
      </c:barChart>
      <c:catAx>
        <c:axId val="98033024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103700736"/>
        <c:crosses val="autoZero"/>
        <c:auto val="1"/>
        <c:lblAlgn val="ctr"/>
        <c:lblOffset val="100"/>
      </c:catAx>
      <c:valAx>
        <c:axId val="103700736"/>
        <c:scaling>
          <c:orientation val="minMax"/>
          <c:max val="10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980330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776061340234569"/>
                  <c:y val="-1.33570193969656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Gráficos_SE!$L$20:$L$24</c:f>
              <c:strCache>
                <c:ptCount val="5"/>
                <c:pt idx="0">
                  <c:v>Meio Ambiente</c:v>
                </c:pt>
                <c:pt idx="1">
                  <c:v>Princípios e Objetivos</c:v>
                </c:pt>
                <c:pt idx="2">
                  <c:v>Desenvolvimento Econômico</c:v>
                </c:pt>
                <c:pt idx="3">
                  <c:v>Habitação e Vulnerabilidade</c:v>
                </c:pt>
                <c:pt idx="4">
                  <c:v>Transporte e Logística</c:v>
                </c:pt>
              </c:strCache>
            </c:strRef>
          </c:cat>
          <c:val>
            <c:numRef>
              <c:f>Gráficos_SE!$N$20:$N$24</c:f>
              <c:numCache>
                <c:formatCode>0%</c:formatCode>
                <c:ptCount val="5"/>
                <c:pt idx="0">
                  <c:v>0.42857142857142855</c:v>
                </c:pt>
                <c:pt idx="1">
                  <c:v>0.14285714285714285</c:v>
                </c:pt>
                <c:pt idx="2">
                  <c:v>0.14285714285714285</c:v>
                </c:pt>
                <c:pt idx="3">
                  <c:v>0.14285714285714285</c:v>
                </c:pt>
                <c:pt idx="4">
                  <c:v>0.14285714285714285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0.23727932960893852"/>
                  <c:y val="6.3520447040894086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3918493666552553"/>
                  <c:y val="2.475945564607892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3.941651148355059E-2"/>
                  <c:y val="3.5052070104140494E-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0.1108447791852106"/>
                  <c:y val="-5.4348914478175806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Gráficos_SE!$L$28:$L$34</c:f>
              <c:strCache>
                <c:ptCount val="7"/>
                <c:pt idx="0">
                  <c:v>Segurança Pública</c:v>
                </c:pt>
                <c:pt idx="1">
                  <c:v>Educação</c:v>
                </c:pt>
                <c:pt idx="2">
                  <c:v>Saúde Pública</c:v>
                </c:pt>
                <c:pt idx="3">
                  <c:v>Assistência Social</c:v>
                </c:pt>
                <c:pt idx="4">
                  <c:v>Outros*</c:v>
                </c:pt>
                <c:pt idx="5">
                  <c:v>Cultura e Patrimônio Histórico</c:v>
                </c:pt>
                <c:pt idx="6">
                  <c:v>Energia</c:v>
                </c:pt>
              </c:strCache>
            </c:strRef>
          </c:cat>
          <c:val>
            <c:numRef>
              <c:f>Gráficos_SE!$N$28:$N$34</c:f>
              <c:numCache>
                <c:formatCode>0%</c:formatCode>
                <c:ptCount val="7"/>
                <c:pt idx="0">
                  <c:v>0.36363636363636365</c:v>
                </c:pt>
                <c:pt idx="1">
                  <c:v>0.22727272727272727</c:v>
                </c:pt>
                <c:pt idx="2">
                  <c:v>0.13636363636363635</c:v>
                </c:pt>
                <c:pt idx="3">
                  <c:v>9.0909090909090912E-2</c:v>
                </c:pt>
                <c:pt idx="4">
                  <c:v>9.0909090909090912E-2</c:v>
                </c:pt>
                <c:pt idx="5">
                  <c:v>4.5454545454545456E-2</c:v>
                </c:pt>
                <c:pt idx="6">
                  <c:v>4.5454545454545456E-2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0.6713</cdr:x>
      <cdr:y>0.84516</cdr:y>
    </cdr:from>
    <cdr:to>
      <cdr:x>0.99478</cdr:x>
      <cdr:y>0.99711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162929" y="1663701"/>
          <a:ext cx="1042252" cy="2991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</a:t>
          </a:r>
          <a:r>
            <a:rPr lang="pt-BR" sz="600" baseline="0"/>
            <a:t> Esporte e Lazer; Gestão de Riscos</a:t>
          </a:r>
          <a:endParaRPr lang="pt-BR" sz="600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23</cp:revision>
  <dcterms:created xsi:type="dcterms:W3CDTF">2017-10-03T12:56:00Z</dcterms:created>
  <dcterms:modified xsi:type="dcterms:W3CDTF">2017-11-13T14:12:00Z</dcterms:modified>
</cp:coreProperties>
</file>