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628A1">
        <w:rPr>
          <w:b/>
          <w:sz w:val="28"/>
          <w:szCs w:val="28"/>
        </w:rPr>
        <w:t>L</w:t>
      </w:r>
      <w:r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6626BA">
        <w:rPr>
          <w:b/>
          <w:sz w:val="28"/>
          <w:szCs w:val="28"/>
        </w:rPr>
        <w:t>Poá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6626BA">
        <w:t>19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6626BA">
        <w:t>36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6626BA" w:rsidP="00A21D44">
      <w:pPr>
        <w:spacing w:after="0"/>
        <w:jc w:val="center"/>
      </w:pPr>
      <w:r w:rsidRPr="006626BA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6626BA" w:rsidP="00A21D44">
      <w:pPr>
        <w:spacing w:after="0"/>
        <w:jc w:val="center"/>
      </w:pPr>
      <w:r w:rsidRPr="006626BA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6626BA" w:rsidP="002A2F4A">
      <w:pPr>
        <w:spacing w:after="0"/>
        <w:jc w:val="center"/>
      </w:pPr>
      <w:r w:rsidRPr="006626BA">
        <w:rPr>
          <w:noProof/>
          <w:lang w:eastAsia="pt-BR"/>
        </w:rPr>
        <w:drawing>
          <wp:inline distT="0" distB="0" distL="0" distR="0">
            <wp:extent cx="3222000" cy="19685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85C25"/>
    <w:rsid w:val="002A2F4A"/>
    <w:rsid w:val="002D17DD"/>
    <w:rsid w:val="002D7874"/>
    <w:rsid w:val="004A3A55"/>
    <w:rsid w:val="00572802"/>
    <w:rsid w:val="005820F3"/>
    <w:rsid w:val="00646B10"/>
    <w:rsid w:val="006626BA"/>
    <w:rsid w:val="006628A1"/>
    <w:rsid w:val="00662F45"/>
    <w:rsid w:val="006807A1"/>
    <w:rsid w:val="006D019D"/>
    <w:rsid w:val="0074067F"/>
    <w:rsid w:val="00765753"/>
    <w:rsid w:val="007D1460"/>
    <w:rsid w:val="007F2282"/>
    <w:rsid w:val="00803876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Gráficos_L!$K$37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Gráficos_L!$L$36:$M$36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Gráficos_L!$L$37:$M$37</c:f>
              <c:numCache>
                <c:formatCode>General</c:formatCode>
                <c:ptCount val="2"/>
                <c:pt idx="0">
                  <c:v>30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Gráficos_L!$K$38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Gráficos_L!$L$36:$M$36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Gráficos_L!$L$38:$M$38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  <c:overlap val="100"/>
        <c:axId val="66876544"/>
        <c:axId val="66878080"/>
      </c:barChart>
      <c:catAx>
        <c:axId val="6687654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8080"/>
        <c:crosses val="autoZero"/>
        <c:auto val="1"/>
        <c:lblAlgn val="ctr"/>
        <c:lblOffset val="100"/>
      </c:catAx>
      <c:valAx>
        <c:axId val="66878080"/>
        <c:scaling>
          <c:orientation val="minMax"/>
          <c:max val="4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668765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7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7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Gráficos_L!$L$20:$L$27</c:f>
              <c:strCache>
                <c:ptCount val="8"/>
                <c:pt idx="0">
                  <c:v>Meio Ambiente</c:v>
                </c:pt>
                <c:pt idx="1">
                  <c:v>Desenvolvimento Econômico</c:v>
                </c:pt>
                <c:pt idx="2">
                  <c:v>Habitação e Vulnerabilidade</c:v>
                </c:pt>
                <c:pt idx="3">
                  <c:v>Transporte e Logística</c:v>
                </c:pt>
                <c:pt idx="4">
                  <c:v>Ordenamento Territorial</c:v>
                </c:pt>
                <c:pt idx="5">
                  <c:v>Governança e Fundos</c:v>
                </c:pt>
                <c:pt idx="6">
                  <c:v>Diretrizes</c:v>
                </c:pt>
                <c:pt idx="7">
                  <c:v>Princípios e Objetivos</c:v>
                </c:pt>
              </c:strCache>
            </c:strRef>
          </c:cat>
          <c:val>
            <c:numRef>
              <c:f>Gráficos_L!$N$20:$N$27</c:f>
              <c:numCache>
                <c:formatCode>0.00%</c:formatCode>
                <c:ptCount val="8"/>
                <c:pt idx="0">
                  <c:v>0.25396825396825401</c:v>
                </c:pt>
                <c:pt idx="1">
                  <c:v>0.20634920634920637</c:v>
                </c:pt>
                <c:pt idx="2">
                  <c:v>0.15873015873015875</c:v>
                </c:pt>
                <c:pt idx="3">
                  <c:v>0.12698412698412698</c:v>
                </c:pt>
                <c:pt idx="4">
                  <c:v>9.5238095238095247E-2</c:v>
                </c:pt>
                <c:pt idx="5">
                  <c:v>7.9365079365079361E-2</c:v>
                </c:pt>
                <c:pt idx="6">
                  <c:v>6.3492063492063502E-2</c:v>
                </c:pt>
                <c:pt idx="7">
                  <c:v>1.5873015873015876E-2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52E-2"/>
                  <c:y val="1.662049861495852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5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3.2325792331050436E-2"/>
                  <c:y val="7.696471614517579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0.16101849539258359"/>
                  <c:y val="3.0792681527054017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5.0083472454090193E-2"/>
                  <c:y val="3.45400702463212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31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Gráficos_L!$L$28:$L$33</c:f>
              <c:strCache>
                <c:ptCount val="6"/>
                <c:pt idx="0">
                  <c:v>Educação</c:v>
                </c:pt>
                <c:pt idx="1">
                  <c:v>Segurança Pública</c:v>
                </c:pt>
                <c:pt idx="2">
                  <c:v>Saúde Pública</c:v>
                </c:pt>
                <c:pt idx="3">
                  <c:v>Assistência Social</c:v>
                </c:pt>
                <c:pt idx="4">
                  <c:v>Energia</c:v>
                </c:pt>
                <c:pt idx="5">
                  <c:v>Cultura e Patrimônio Histórico</c:v>
                </c:pt>
              </c:strCache>
            </c:strRef>
          </c:cat>
          <c:val>
            <c:numRef>
              <c:f>Gráficos_L!$N$28:$N$33</c:f>
              <c:numCache>
                <c:formatCode>0.00%</c:formatCode>
                <c:ptCount val="6"/>
                <c:pt idx="0">
                  <c:v>0.26229508196721318</c:v>
                </c:pt>
                <c:pt idx="1">
                  <c:v>0.24590163934426232</c:v>
                </c:pt>
                <c:pt idx="2">
                  <c:v>0.22950819672131151</c:v>
                </c:pt>
                <c:pt idx="3">
                  <c:v>0.1475409836065574</c:v>
                </c:pt>
                <c:pt idx="4">
                  <c:v>6.5573770491803282E-2</c:v>
                </c:pt>
                <c:pt idx="5">
                  <c:v>4.9180327868852465E-2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14</cp:revision>
  <dcterms:created xsi:type="dcterms:W3CDTF">2017-10-03T12:56:00Z</dcterms:created>
  <dcterms:modified xsi:type="dcterms:W3CDTF">2017-10-24T17:08:00Z</dcterms:modified>
</cp:coreProperties>
</file>